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3C9" w14:textId="77777777" w:rsidR="00E94305" w:rsidRPr="00E94305" w:rsidRDefault="00E94305" w:rsidP="00E943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</w:pPr>
      <w:proofErr w:type="spellStart"/>
      <w:r w:rsidRPr="00E94305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  <w:t>Termene</w:t>
      </w:r>
      <w:proofErr w:type="spellEnd"/>
      <w:r w:rsidRPr="00E94305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en-GB"/>
        </w:rPr>
        <w:t>Condiții</w:t>
      </w:r>
      <w:proofErr w:type="spellEnd"/>
    </w:p>
    <w:p w14:paraId="4E5B6B5E" w14:textId="77777777" w:rsidR="00E94305" w:rsidRPr="00E94305" w:rsidRDefault="00E94305" w:rsidP="00E943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I.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Dispoziții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generale</w:t>
      </w:r>
      <w:proofErr w:type="spellEnd"/>
    </w:p>
    <w:p w14:paraId="2432DB94" w14:textId="77777777" w:rsidR="00E94305" w:rsidRPr="00E94305" w:rsidRDefault="00E94305" w:rsidP="00E94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Generale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continuare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T&amp;C)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privesc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exclusiv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functionarea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auto www.topcarrentals.ro (in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continuare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Site-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detinute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360 YACHT SUPPLY S.R.L.,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sediul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social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Valea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Draganului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nr. 226,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jud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Cluj,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având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CUI: 34814275,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fiind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înregistrată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Registrul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Comerțului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sub nr. J12/3182/09.08.2019,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continuare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dedicate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vina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sprijinul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relevante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despre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serviciile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Partenerii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nostrii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E1E7BDB" w14:textId="77777777" w:rsidR="00E94305" w:rsidRPr="00E94305" w:rsidRDefault="00E94305" w:rsidP="00E94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oricarui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Site,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totalitate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Conditiilor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partenere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precum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legilor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România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02825827" w14:textId="77777777" w:rsidR="00E94305" w:rsidRPr="00E94305" w:rsidRDefault="00E94305" w:rsidP="00E94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navigarea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site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/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site-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www.topcarrentals.ro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declarati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inteles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acceptati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care include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totodata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confidențialitate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Cookies.</w:t>
      </w:r>
    </w:p>
    <w:p w14:paraId="5D7C909B" w14:textId="77777777" w:rsidR="00E94305" w:rsidRPr="00E94305" w:rsidRDefault="00E94305" w:rsidP="00E94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1.4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Generale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valabile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perioadă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nedeterminată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Utilizatorii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convin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dreptul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modifica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unilateral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T&amp;C,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fără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notificare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prealabilă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aceștia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T&amp;C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modifică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respectivele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modificări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produc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efecte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imediat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după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publicarea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Site.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recomandă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Utilizatorilor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monitorizeze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eventualele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modificările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T&amp;C.</w:t>
      </w:r>
    </w:p>
    <w:p w14:paraId="0EC46C3F" w14:textId="77777777" w:rsidR="00E94305" w:rsidRPr="00E94305" w:rsidRDefault="00E94305" w:rsidP="00E943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II. Cum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functioneaza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www.topcarrentals.ro?</w:t>
      </w:r>
    </w:p>
    <w:p w14:paraId="20796084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2.1 Site-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www.topcarrentals.ro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funcționează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adus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-un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singur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loc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unora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dintere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celo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încredere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auto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România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Cu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experientă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10 ani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domeniu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selectat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competitive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a car,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mici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servicii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standarde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calitate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B786132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auto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răspunde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totalitate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conditiile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convenite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publicate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site-urile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acestora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Echipa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suport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dispoziție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ajuta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gestionarea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situațiilor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nedorite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putea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apară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parcursul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niciun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fel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raspunzătoare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0435B2AE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rugăm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citiți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atent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pe site-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il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</w:t>
      </w: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 xml:space="preserve">a car.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360 YACHT SUPPLY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nici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 inconvenient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apărut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derularea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procesului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efectuarea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rezervării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Site,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până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predarea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deblocarea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garanției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, etc.</w:t>
      </w:r>
    </w:p>
    <w:p w14:paraId="1B1465E6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2.4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l-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ales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asumă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derularea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limitele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aceștia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pe site-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acestora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7895F43B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2.5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Topcarrentals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direcționare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automata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selectat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Derularea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rezervărilor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desfășoară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a car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asumându-si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deplin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desfășurarea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corespunzătoare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atât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procesului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cât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propriu-zise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2BC766CF" w14:textId="77777777" w:rsidR="00E94305" w:rsidRPr="00E94305" w:rsidRDefault="00E94305" w:rsidP="00E9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2.6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Cererile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procesate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-o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perioada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medie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24 de ore.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Dupa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proceseaza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primi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a car de la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răspuns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confirmare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anulare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alternativă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dispune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clasa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solicitata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).</w:t>
      </w:r>
    </w:p>
    <w:p w14:paraId="1BBFD1EB" w14:textId="77777777" w:rsidR="00E94305" w:rsidRPr="00E94305" w:rsidRDefault="00E94305" w:rsidP="00E943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III. DEPOZIT</w:t>
      </w:r>
    </w:p>
    <w:p w14:paraId="28E4D91F" w14:textId="77777777" w:rsidR="00E94305" w:rsidRPr="00E94305" w:rsidRDefault="00E94305" w:rsidP="00E94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3.1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rugăm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consultați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informații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exacte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cuantumul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solicitat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mașina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dorită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restituire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acestuia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capitol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secțiunea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jos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caracter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informativ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general.</w:t>
      </w:r>
    </w:p>
    <w:p w14:paraId="6E6A4F4E" w14:textId="77777777" w:rsidR="00E94305" w:rsidRPr="00E94305" w:rsidRDefault="00E94305" w:rsidP="00E94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3.2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Societățile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a car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solicită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momentul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încheierii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regulă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chiar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protecției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integrale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consumul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pierderea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cheii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/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/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pierderi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pot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apărea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parcursul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perioadei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7F714364" w14:textId="77777777" w:rsidR="00E94305" w:rsidRPr="00E94305" w:rsidRDefault="00E94305" w:rsidP="00E94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3.3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reținut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total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parțial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măsura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încălcați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agreate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legislația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vigoare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Reținerea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face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funcție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generată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restituirea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despăgubirea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client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riscurilor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neacoperite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asigurări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sens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rugam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consultați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Capitolul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IV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conform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l-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7334E70" w14:textId="77777777" w:rsidR="00E94305" w:rsidRPr="00E94305" w:rsidRDefault="00E94305" w:rsidP="00E94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3.4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accesoriile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aceeași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stare ca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preluare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concordanta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ii)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asigurări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etc.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rambursat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momentul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returnării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654E2F2" w14:textId="77777777" w:rsidR="00E94305" w:rsidRPr="00E94305" w:rsidRDefault="00E94305" w:rsidP="00E943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3.5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firmele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diferite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–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rugăm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cititi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atenție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aspect.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primiți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mașina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gol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aceeași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stare -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situație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rambursează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neutilizat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Alte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închiriază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atunci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tot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19349F6" w14:textId="77777777" w:rsidR="00E94305" w:rsidRPr="00E94305" w:rsidRDefault="00E94305" w:rsidP="00E943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IV. ASIGURARI</w:t>
      </w:r>
    </w:p>
    <w:p w14:paraId="4A89395C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rugăm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consultați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informații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exacte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tip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mașina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dorită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exact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rent a car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reprezintă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baza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legală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litigiu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capitol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secțiunea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jos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caracter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informativ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0D6A53D8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Pachetul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asigurări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regulă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CASCO,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fără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răspundere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civila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RCA.</w:t>
      </w:r>
    </w:p>
    <w:p w14:paraId="431F3BA4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4.3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CASCO</w:t>
      </w:r>
    </w:p>
    <w:p w14:paraId="203FE8EF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4.3.1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tip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regulă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excepția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tentativei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tip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există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reprezintă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blocat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cartea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credit/debit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lăsată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numerar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redusă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selectarea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uneia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www.topcarrentals.ro.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sens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oferim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posibilități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Standard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standard),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Titanium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redus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Integrală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redus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fara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).</w:t>
      </w:r>
    </w:p>
    <w:p w14:paraId="4ED7D0F2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4.3.2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varianta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Standard,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limita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maxime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specificate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depozit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fiecare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tip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CASCO pe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prețul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afișat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daunele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depășesc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condițiile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specificate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contractul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Variantele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intitulate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Titanium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Integrală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scad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respectiv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valoarea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garanției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până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specificate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Site,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selectarea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protecției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877AFA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4.3.3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Riscuri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acoperite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CASCO</w:t>
      </w:r>
    </w:p>
    <w:p w14:paraId="3299738E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ciocniri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loviri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izbiri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corpuri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mobile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imobile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aflate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afara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interiorul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zgârieri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caderi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derapari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rasturnari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;</w:t>
      </w:r>
    </w:p>
    <w:p w14:paraId="43F2CDAD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b.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mod direct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indirect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incendiu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explozie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fenomene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naturale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trasnet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inundatii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cutremur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ploaie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torentiala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grindina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prabusire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alunecare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teren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);</w:t>
      </w:r>
    </w:p>
    <w:p w14:paraId="54C93D70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c.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explozie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inclusiv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explozia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rezervorului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carburant)</w:t>
      </w:r>
    </w:p>
    <w:p w14:paraId="4746D87D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d.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echipamentelor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modificarilor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constructive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permanente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rotilor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sculelor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dotarea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 xml:space="preserve">standard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producerii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evenimentului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fost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montate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auto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cuprinse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sumele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;</w:t>
      </w:r>
    </w:p>
    <w:p w14:paraId="03EC1558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e.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fenomene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naturale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trasnet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uragan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grindina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inundatie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cutremur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pamant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prabusire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alunecare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teren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greutatea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stratului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zapada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avalanse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inclusiv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indirect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;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exemplu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caderea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copacilor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loviti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trasnet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acestuia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obiectele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angrenate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uragan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provenite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inundatii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etc)</w:t>
      </w:r>
    </w:p>
    <w:p w14:paraId="12FB93F5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f.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caderi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corpuri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blocuri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gheata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bolovani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)</w:t>
      </w:r>
    </w:p>
    <w:p w14:paraId="5867E050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g.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impactul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animale</w:t>
      </w:r>
      <w:proofErr w:type="spellEnd"/>
    </w:p>
    <w:p w14:paraId="241553C0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h.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caderea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prapastie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caderi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pe pod.</w:t>
      </w:r>
    </w:p>
    <w:p w14:paraId="613ABBCC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ciocniri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loviri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izbiri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corpuri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aflate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afara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cãderi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cãdere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prãpastie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cãdere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prilejul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transbordãrii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cãdere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cauza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ruperii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podului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cãdere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corpuri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derapãri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rãsturnãri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incendiu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explozie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trasnet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cutremur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pamant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viituri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alunecari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teren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25437327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4.3.4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Riscuri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excluse</w:t>
      </w:r>
      <w:proofErr w:type="spellEnd"/>
    </w:p>
    <w:p w14:paraId="27A5642E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a. Nu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despagubite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polița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piese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prelate,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combustibili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oricãror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bunuri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existente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nici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rezultate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legãturã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utilizarea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concursuri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întreceri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antrenamente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nici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aparute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pãtrunderii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locuri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inundate,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traversarea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cursurilor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drumurile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interzise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circulatiei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publice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;</w:t>
      </w:r>
    </w:p>
    <w:p w14:paraId="0F00F75B" w14:textId="77777777" w:rsidR="00E94305" w:rsidRPr="00E94305" w:rsidRDefault="00E94305" w:rsidP="00E9430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b. Sunt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asemenea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excluse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defecte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fabricatie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materialului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executie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pãrtilor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componente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pieselor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influenta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temperaturii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asupra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motorului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exemplu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avarieri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blocul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motor,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chiulasã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sistemul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rãcire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înghetãrii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motorului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cutiei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viteze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diferentialului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lipsei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insuficientei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ungerii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supraîncãlzirii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cauze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decât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cuprinse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exploziei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rezervorului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reparatie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datoritã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interventiei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sudurã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31E0BD7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proofErr w:type="gram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4.4 .</w:t>
      </w:r>
      <w:proofErr w:type="gram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CASCO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împotriva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furtului</w:t>
      </w:r>
      <w:proofErr w:type="spellEnd"/>
    </w:p>
    <w:p w14:paraId="22B91046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4.4.2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protecţie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împotriva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evenimentul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menţionat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într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-un document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oficial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emis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poliţie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0B206C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4.4.3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Riscurile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parti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componente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piese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echipamente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acestuia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ii)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/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echipamentului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tentativei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8B9CBDE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4.4.4.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Riscuri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excluse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 nu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acordă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despăgubiri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nu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prezintă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 document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constatare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ii) nu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acordă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despăgubiri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clientul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prezintă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cheile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şi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original.</w:t>
      </w:r>
    </w:p>
    <w:p w14:paraId="4ACECE8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4.5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răspundere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civilă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(RCA)</w:t>
      </w:r>
    </w:p>
    <w:p w14:paraId="7AD4EFF2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4.5.1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are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obiect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prejudiciilor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provocate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tertilor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producerii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evenimentului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accidente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560602E2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4.5.2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Riscuri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Pagube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materiale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vătămări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corporale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deces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terților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culpa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FA98E9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4.6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Pași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urmat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caz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de accident</w:t>
      </w:r>
    </w:p>
    <w:p w14:paraId="66CF0AD1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4.6.1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accident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obligatoriu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contactati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imediat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declarati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accidentul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elibera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Procesul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Verbal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Constatare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Autorizatia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Reparatii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documente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indispensabile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acoperit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asigurare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repararea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2FDEF255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4.6.2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accident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clientul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anunţe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imediat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asupra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producerii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acestuia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Neanunţarea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imediată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accidentului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totală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daunelor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către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client.</w:t>
      </w:r>
    </w:p>
    <w:p w14:paraId="17036AC4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4.6.3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Declaratia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obligatorie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sunteti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vinovat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sunteti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victima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sunteti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singur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implicat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identificata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(ex.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parcare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lipsa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dvs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.).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Fara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documente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clientul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costurile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reparatii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7923AA68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4.6.4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clientul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aflat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sub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influenta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alcoolului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drogurilor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medicamentelor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nerecomandate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responsabilitatea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asupra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oricăror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accident ii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revine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intregime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84D436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5.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Condiții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aplicabile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șoferului</w:t>
      </w:r>
      <w:proofErr w:type="spellEnd"/>
    </w:p>
    <w:p w14:paraId="771EB3C8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rugăm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consultați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politica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informații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exacte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privire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vârsta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minima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experiența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minima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necesara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FE3EDCC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5.2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regula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varsta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minima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21 de ani.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pot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furnizori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soferi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varsta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mica de 21 de ani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mare de 65.</w:t>
      </w:r>
    </w:p>
    <w:p w14:paraId="1626ABEA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5.3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vechime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permisului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conducere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minim un an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ani.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Permisul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conducere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corespunzator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categoriei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urmeaza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condus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49DECC6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5.4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Soferul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aditional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persoana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afara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soferul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principal,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conduce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aprobat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El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completeze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şi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semneze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un formular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biroul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pot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percepe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șoferii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adiționali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19914DAF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5.5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Chiar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conduceti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niciodată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sunteti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considerat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soferul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principal al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765DFFAC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5.6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dreptul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a-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selecta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clientii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0F26662B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6.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Predarea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alta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locatie</w:t>
      </w:r>
      <w:proofErr w:type="spellEnd"/>
    </w:p>
    <w:p w14:paraId="4F2A3CB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 xml:space="preserve">6.1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autoturismul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client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-o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locatie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diferita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livrare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plateasca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taxa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depinde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22670734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7.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Calcularea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ratei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zilnice</w:t>
      </w:r>
      <w:proofErr w:type="spellEnd"/>
    </w:p>
    <w:p w14:paraId="658C1281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7.1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Durata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perioadei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incepe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se termina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concordanta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detaliile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inscrise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voucher-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furmizat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calculat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interval de 24 de ore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comunicat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momentul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9AEDD0B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7.2 Daca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dumneavoastra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doriti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prelungiti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perioada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dupa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preluat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dupa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propriu-zis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efectuati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rezervarea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online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adresati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nevoie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achitati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diferenta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pret.</w:t>
      </w:r>
    </w:p>
    <w:p w14:paraId="5462C457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8.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Scaun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copil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accesorii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speciale</w:t>
      </w:r>
      <w:proofErr w:type="spellEnd"/>
    </w:p>
    <w:p w14:paraId="6C13132C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8.1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Scaunele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copii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suporturile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schiuri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(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indisponibile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vehicule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), precum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dotari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adiționale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disponibile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cerere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majoritatea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rugam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verificați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aspecte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32D36975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9.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Diferite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taxe</w:t>
      </w:r>
      <w:proofErr w:type="spellEnd"/>
    </w:p>
    <w:p w14:paraId="73818BB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9.1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Există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pot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cerute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serviciile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afara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orelor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program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chiar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cazul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care se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ajunge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acest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lucru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datorita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intarzierii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zborului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asemenea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pot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percepute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livrare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/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returnare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aeroport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4BD8C524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9.2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Detaliile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complete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despre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adresa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livrării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trebuie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furnizate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momentul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rezervării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560FC6A0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10.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deplasari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in afara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tarii</w:t>
      </w:r>
      <w:proofErr w:type="spellEnd"/>
    </w:p>
    <w:p w14:paraId="3643CC15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10.1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închirieri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posibilitatea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gram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</w:t>
      </w:r>
      <w:proofErr w:type="gram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iesi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din tara cu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autovehiculul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iar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oferă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aceasta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optiune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fac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contra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unei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taxe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suplimentare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, care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variază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companie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1F900F1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11.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Tipul</w:t>
      </w:r>
      <w:proofErr w:type="spellEnd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autovehiculului</w:t>
      </w:r>
      <w:proofErr w:type="spellEnd"/>
    </w:p>
    <w:p w14:paraId="28A60A0C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11.1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Platforma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TopCarRentals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poate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garanta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marca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model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Masinile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pe care le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rezervati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sunt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dintr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-o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anumita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clasa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masini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pot fi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inlocuite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cu un model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asemanator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mai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bun.</w:t>
      </w:r>
    </w:p>
    <w:p w14:paraId="04DC48CD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12. Suport</w:t>
      </w:r>
    </w:p>
    <w:p w14:paraId="11E19D2B" w14:textId="77777777" w:rsidR="00E94305" w:rsidRPr="00E94305" w:rsidRDefault="00E94305" w:rsidP="00E94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12.1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Pentru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orice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intrebari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care nu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gasiti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raspunsul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prezentele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Termene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Conditii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sau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sectiunea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Intrebari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frecvente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va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rugam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ne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contactati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la </w:t>
      </w:r>
      <w:proofErr w:type="spellStart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adresa</w:t>
      </w:r>
      <w:proofErr w:type="spellEnd"/>
      <w:r w:rsidRPr="00E9430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de e-mail: </w:t>
      </w:r>
      <w:proofErr w:type="gramStart"/>
      <w:r w:rsidRPr="00E9430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office(</w:t>
      </w:r>
      <w:proofErr w:type="gramEnd"/>
      <w:r w:rsidRPr="00E9430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@)topcarrentals(.)ro</w:t>
      </w:r>
    </w:p>
    <w:p w14:paraId="5855EB3F" w14:textId="77777777" w:rsidR="00E94305" w:rsidRDefault="00E94305"/>
    <w:sectPr w:rsidR="00E9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D09"/>
    <w:multiLevelType w:val="multilevel"/>
    <w:tmpl w:val="6C3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10D1A"/>
    <w:multiLevelType w:val="multilevel"/>
    <w:tmpl w:val="98C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84CE0"/>
    <w:multiLevelType w:val="multilevel"/>
    <w:tmpl w:val="E74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35C5D"/>
    <w:multiLevelType w:val="multilevel"/>
    <w:tmpl w:val="284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579469">
    <w:abstractNumId w:val="2"/>
  </w:num>
  <w:num w:numId="2" w16cid:durableId="1444768555">
    <w:abstractNumId w:val="3"/>
  </w:num>
  <w:num w:numId="3" w16cid:durableId="522475334">
    <w:abstractNumId w:val="0"/>
  </w:num>
  <w:num w:numId="4" w16cid:durableId="166323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05"/>
    <w:rsid w:val="00E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62F9"/>
  <w15:chartTrackingRefBased/>
  <w15:docId w15:val="{E11D45AF-7673-4455-A69F-082C0ECF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94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3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9430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mt-3">
    <w:name w:val="mt-3"/>
    <w:basedOn w:val="Normal"/>
    <w:rsid w:val="00E9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13255</Characters>
  <Application>Microsoft Office Word</Application>
  <DocSecurity>0</DocSecurity>
  <Lines>110</Lines>
  <Paragraphs>31</Paragraphs>
  <ScaleCrop>false</ScaleCrop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Institute 2</dc:creator>
  <cp:keywords/>
  <dc:description/>
  <cp:lastModifiedBy>WEB Institute 2</cp:lastModifiedBy>
  <cp:revision>1</cp:revision>
  <dcterms:created xsi:type="dcterms:W3CDTF">2023-08-21T18:19:00Z</dcterms:created>
  <dcterms:modified xsi:type="dcterms:W3CDTF">2023-08-21T18:19:00Z</dcterms:modified>
</cp:coreProperties>
</file>