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9" w:rsidRPr="000F743C" w:rsidRDefault="007628C9" w:rsidP="007628C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A22E596" wp14:editId="47CE6F61">
            <wp:extent cx="2952000" cy="313200"/>
            <wp:effectExtent l="0" t="0" r="1270" b="0"/>
            <wp:docPr id="1" name="Picture 1" descr="Cabinet de Psihiatrie">
              <a:hlinkClick xmlns:a="http://schemas.openxmlformats.org/drawingml/2006/main" r:id="rId7" tgtFrame="&quot;contents&quot;" tooltip="&quot;Centrul Medical Ţuculanu-Cabinetul de Gastroenterolog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inet de Psihiatrie">
                      <a:hlinkClick r:id="rId7" tgtFrame="&quot;contents&quot;" tooltip="&quot;Centrul Medical Ţuculanu-Cabinetul de Gastroenterolog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C9" w:rsidRPr="000F743C" w:rsidRDefault="007628C9" w:rsidP="007628C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Consultaţii şi servicii de înaltă performanţă:</w:t>
      </w:r>
    </w:p>
    <w:p w:rsidR="007628C9" w:rsidRPr="000F743C" w:rsidRDefault="007628C9" w:rsidP="007628C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:rsidR="007628C9" w:rsidRPr="000F743C" w:rsidRDefault="007628C9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  <w:r w:rsidRPr="000F743C">
        <w:rPr>
          <w:rFonts w:ascii="Arial" w:eastAsia="Times New Roman" w:hAnsi="Arial" w:cs="Arial"/>
          <w:color w:val="0066FF"/>
          <w:sz w:val="24"/>
          <w:szCs w:val="24"/>
        </w:rPr>
        <w:t>Consultaţii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Gastroenterologie, Hepatologie, Proctologie, Medicină Internă (afecţiuni cardio-respiratorii, boli reumatologice şi de colagen, diabet şi boli de nutriţie, anemii şi alte boli hematologice nemaligne, afecţiuni nefrologice,  Psihiatrie, Psihoterapie, Medicină de Familie, Medicina Muncii.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Prescriere de formulare medicale (reţete, trimiteri, concedii medicale, certificate medicale, referate medicale).</w:t>
      </w:r>
    </w:p>
    <w:p w:rsidR="000F743C" w:rsidRDefault="000F743C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</w:p>
    <w:p w:rsidR="007628C9" w:rsidRPr="000F743C" w:rsidRDefault="007628C9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  <w:r w:rsidRPr="000F743C">
        <w:rPr>
          <w:rFonts w:ascii="Arial" w:eastAsia="Times New Roman" w:hAnsi="Arial" w:cs="Arial"/>
          <w:color w:val="0066FF"/>
          <w:sz w:val="24"/>
          <w:szCs w:val="24"/>
        </w:rPr>
        <w:t>Investigaţii paraclinice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Ecografie abdominală computerizată (inclusiv prelucrări panoramice sau tridimensionale).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pH-metrie esofagiană computerizată tip Holter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Investigaţii paraclinice necesare în medicina internă şi medicina muncii: ECG, spirometrie, audiometrie.</w:t>
      </w:r>
    </w:p>
    <w:p w:rsidR="000F743C" w:rsidRDefault="000F743C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</w:p>
    <w:p w:rsidR="007628C9" w:rsidRPr="000F743C" w:rsidRDefault="007628C9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  <w:r w:rsidRPr="000F743C">
        <w:rPr>
          <w:rFonts w:ascii="Arial" w:eastAsia="Times New Roman" w:hAnsi="Arial" w:cs="Arial"/>
          <w:color w:val="0066FF"/>
          <w:sz w:val="24"/>
          <w:szCs w:val="24"/>
        </w:rPr>
        <w:t>Endoscopie digestivă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Endoscopie digestivă clasică (esofagoscopie, gastroscopie, colonoscopie, sigmoidoscopie, rectoscopie) cu fibroendoscoape sau videoendoscoape flexibile.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Endoscopie digestivă cu cromoendosocopie</w:t>
      </w:r>
      <w:r w:rsidRPr="000F743C">
        <w:rPr>
          <w:rFonts w:ascii="Arial" w:eastAsia="Times New Roman" w:hAnsi="Arial" w:cs="Arial"/>
          <w:color w:val="000000"/>
          <w:sz w:val="24"/>
          <w:szCs w:val="24"/>
        </w:rPr>
        <w:t xml:space="preserve"> clasică (coloraţii intravitale) sau virtuală (pentru depistarea hemoragiilor dificil de vizualizat,  pentru depistarea timpurie a cancerului şi tumorilor benigne).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Endoscopie cu video-capsulă</w:t>
      </w:r>
      <w:r w:rsidRPr="000F743C">
        <w:rPr>
          <w:rFonts w:ascii="Arial" w:eastAsia="Times New Roman" w:hAnsi="Arial" w:cs="Arial"/>
          <w:color w:val="000000"/>
          <w:sz w:val="24"/>
          <w:szCs w:val="24"/>
        </w:rPr>
        <w:t xml:space="preserve"> (pillcam endoscopy, capsule endoscopy) pentru esofag, intestin subţire şi colon.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Ano-rectoscopie cu videoendoscop rigid.</w:t>
      </w:r>
    </w:p>
    <w:p w:rsidR="000F743C" w:rsidRDefault="000F743C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</w:p>
    <w:p w:rsidR="007628C9" w:rsidRPr="000F743C" w:rsidRDefault="007628C9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  <w:r w:rsidRPr="000F743C">
        <w:rPr>
          <w:rFonts w:ascii="Arial" w:eastAsia="Times New Roman" w:hAnsi="Arial" w:cs="Arial"/>
          <w:color w:val="0066FF"/>
          <w:sz w:val="24"/>
          <w:szCs w:val="24"/>
        </w:rPr>
        <w:t>Tratamente endoscopice (nechirurgicale!!!)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Tratamente şi proceduri endoscopice</w:t>
      </w:r>
      <w:r w:rsidRPr="000F743C">
        <w:rPr>
          <w:rFonts w:ascii="Arial" w:eastAsia="Times New Roman" w:hAnsi="Arial" w:cs="Arial"/>
          <w:color w:val="000000"/>
          <w:sz w:val="24"/>
          <w:szCs w:val="24"/>
        </w:rPr>
        <w:t xml:space="preserve"> (biopsie, polipectomie, injecţii endoscopice, extracţii de corpi străini, tratamente laser în hemoroizi şi fisuri anale).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Montarea şi extragerea balonului</w:t>
      </w:r>
      <w:r w:rsidRPr="000F743C">
        <w:rPr>
          <w:rFonts w:ascii="Arial" w:eastAsia="Times New Roman" w:hAnsi="Arial" w:cs="Arial"/>
          <w:color w:val="000000"/>
          <w:sz w:val="24"/>
          <w:szCs w:val="24"/>
        </w:rPr>
        <w:t xml:space="preserve"> intragastric pentru tratamentul obezităţii extreme.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Ligaturi şi sclerozări de hemoroizi.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Injecţii cu exotoxină botulinică pentru fisură anală</w:t>
      </w:r>
    </w:p>
    <w:p w:rsidR="000F743C" w:rsidRDefault="000F743C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</w:p>
    <w:p w:rsidR="007628C9" w:rsidRPr="000F743C" w:rsidRDefault="007628C9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  <w:r w:rsidRPr="000F743C">
        <w:rPr>
          <w:rFonts w:ascii="Arial" w:eastAsia="Times New Roman" w:hAnsi="Arial" w:cs="Arial"/>
          <w:color w:val="0066FF"/>
          <w:sz w:val="24"/>
          <w:szCs w:val="24"/>
        </w:rPr>
        <w:t>Tratamente parenterale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Tratamente injectabile (injecţii intradermice, subcutanate, intramusculare, intravenoase)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Infiltraţii anestezice şi antiinflamatorii (intercostale, scapulo-humerale, paravertebrale, sciatice, etc.)</w:t>
      </w:r>
    </w:p>
    <w:p w:rsidR="000F743C" w:rsidRDefault="000F743C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</w:p>
    <w:p w:rsidR="007628C9" w:rsidRPr="000F743C" w:rsidRDefault="007628C9" w:rsidP="007628C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66FF"/>
          <w:sz w:val="24"/>
          <w:szCs w:val="24"/>
        </w:rPr>
      </w:pPr>
      <w:r w:rsidRPr="000F743C">
        <w:rPr>
          <w:rFonts w:ascii="Arial" w:eastAsia="Times New Roman" w:hAnsi="Arial" w:cs="Arial"/>
          <w:color w:val="0066FF"/>
          <w:sz w:val="24"/>
          <w:szCs w:val="24"/>
        </w:rPr>
        <w:t>Alte tipuri de tratament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Tratament cu lumină polarizată monocromatică</w:t>
      </w:r>
      <w:r w:rsidRPr="000F743C">
        <w:rPr>
          <w:rFonts w:ascii="Arial" w:eastAsia="Times New Roman" w:hAnsi="Arial" w:cs="Arial"/>
          <w:color w:val="000000"/>
          <w:sz w:val="24"/>
          <w:szCs w:val="24"/>
        </w:rPr>
        <w:t xml:space="preserve"> (laser de joasă putere) util în proctologie, ginecologie, reumatologie, neurologie, ORL.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FF0000"/>
          <w:sz w:val="24"/>
          <w:szCs w:val="24"/>
        </w:rPr>
        <w:t>Tratament cu lumină polarizată policromatică</w:t>
      </w:r>
      <w:r w:rsidRPr="000F743C">
        <w:rPr>
          <w:rFonts w:ascii="Arial" w:eastAsia="Times New Roman" w:hAnsi="Arial" w:cs="Arial"/>
          <w:color w:val="000000"/>
          <w:sz w:val="24"/>
          <w:szCs w:val="24"/>
        </w:rPr>
        <w:t xml:space="preserve"> (Bioptron) util în reumatologie, neurologie, psihiatrie, ORL.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Aerosoli.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Analize de laborator</w:t>
      </w:r>
    </w:p>
    <w:p w:rsidR="007628C9" w:rsidRPr="000F743C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Recoltarea analizelor hematologice, biochimice şi imunologice specifice.</w:t>
      </w:r>
    </w:p>
    <w:p w:rsidR="007628C9" w:rsidRDefault="007628C9" w:rsidP="007628C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43C">
        <w:rPr>
          <w:rFonts w:ascii="Arial" w:eastAsia="Times New Roman" w:hAnsi="Arial" w:cs="Arial"/>
          <w:color w:val="000000"/>
          <w:sz w:val="24"/>
          <w:szCs w:val="24"/>
        </w:rPr>
        <w:t>Teste screening pentru depistarea timpurie a cancerului digestiv (esofagian, gastric, colonic, rectal), depistarea hemoragiilor digestive oculte, depistarea helicobacter pylori.</w:t>
      </w:r>
    </w:p>
    <w:p w:rsidR="000F743C" w:rsidRDefault="000F743C" w:rsidP="000F743C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:rsidR="000F743C" w:rsidRPr="000F743C" w:rsidRDefault="000F743C" w:rsidP="000F743C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4499"/>
        <w:gridCol w:w="2852"/>
      </w:tblGrid>
      <w:tr w:rsidR="000F743C" w:rsidRPr="000F743C" w:rsidTr="000F743C">
        <w:tc>
          <w:tcPr>
            <w:tcW w:w="1559" w:type="pct"/>
          </w:tcPr>
          <w:p w:rsidR="000F743C" w:rsidRPr="000F743C" w:rsidRDefault="000F743C" w:rsidP="00D46F0F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9" w:history="1">
              <w:r w:rsidRPr="000F743C">
                <w:rPr>
                  <w:rFonts w:ascii="Arial" w:eastAsia="Times New Roman" w:hAnsi="Arial" w:cs="Arial"/>
                  <w:color w:val="7030A0"/>
                  <w:sz w:val="24"/>
                  <w:szCs w:val="24"/>
                </w:rPr>
                <w:t>www.gastroenterologie.ro</w:t>
              </w:r>
            </w:hyperlink>
          </w:p>
        </w:tc>
        <w:tc>
          <w:tcPr>
            <w:tcW w:w="2106" w:type="pct"/>
          </w:tcPr>
          <w:p w:rsidR="000F743C" w:rsidRPr="000F743C" w:rsidRDefault="000F743C" w:rsidP="00D46F0F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0" w:history="1">
              <w:r w:rsidRPr="000F743C">
                <w:rPr>
                  <w:rStyle w:val="Hyperlink"/>
                  <w:rFonts w:ascii="Arial" w:eastAsia="Times New Roman" w:hAnsi="Arial" w:cs="Arial"/>
                  <w:color w:val="0066CC"/>
                  <w:sz w:val="24"/>
                  <w:szCs w:val="24"/>
                  <w:u w:val="none"/>
                </w:rPr>
                <w:t>www.video-capsula.ro</w:t>
              </w:r>
            </w:hyperlink>
          </w:p>
        </w:tc>
        <w:tc>
          <w:tcPr>
            <w:tcW w:w="1335" w:type="pct"/>
          </w:tcPr>
          <w:p w:rsidR="000F743C" w:rsidRPr="000F743C" w:rsidRDefault="000F743C" w:rsidP="00D46F0F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" w:history="1">
              <w:r w:rsidRPr="000F743C">
                <w:rPr>
                  <w:rStyle w:val="Hyperlink"/>
                  <w:rFonts w:ascii="Arial" w:eastAsia="Times New Roman" w:hAnsi="Arial" w:cs="Arial"/>
                  <w:color w:val="7030A0"/>
                  <w:sz w:val="24"/>
                  <w:szCs w:val="24"/>
                  <w:u w:val="none"/>
                </w:rPr>
                <w:t>www.psihiatrie.net</w:t>
              </w:r>
            </w:hyperlink>
          </w:p>
        </w:tc>
      </w:tr>
      <w:tr w:rsidR="000F743C" w:rsidRPr="000F743C" w:rsidTr="000F743C">
        <w:tc>
          <w:tcPr>
            <w:tcW w:w="1559" w:type="pct"/>
          </w:tcPr>
          <w:p w:rsidR="000F743C" w:rsidRPr="000F743C" w:rsidRDefault="000F743C" w:rsidP="00D46F0F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743C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0735.165.500</w:t>
            </w:r>
          </w:p>
        </w:tc>
        <w:tc>
          <w:tcPr>
            <w:tcW w:w="2106" w:type="pct"/>
          </w:tcPr>
          <w:p w:rsidR="000F743C" w:rsidRPr="000F743C" w:rsidRDefault="000F743C" w:rsidP="00D46F0F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743C">
              <w:rPr>
                <w:rFonts w:ascii="Arial" w:eastAsia="Times New Roman" w:hAnsi="Arial" w:cs="Arial"/>
                <w:color w:val="0066CC"/>
                <w:sz w:val="24"/>
                <w:szCs w:val="24"/>
              </w:rPr>
              <w:t>0735.165.499</w:t>
            </w:r>
          </w:p>
        </w:tc>
        <w:tc>
          <w:tcPr>
            <w:tcW w:w="1335" w:type="pct"/>
          </w:tcPr>
          <w:p w:rsidR="000F743C" w:rsidRPr="000F743C" w:rsidRDefault="000F743C" w:rsidP="00D46F0F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743C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0735.165.498</w:t>
            </w:r>
          </w:p>
        </w:tc>
      </w:tr>
    </w:tbl>
    <w:p w:rsidR="000F743C" w:rsidRPr="000F743C" w:rsidRDefault="000F743C" w:rsidP="000F743C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0F743C" w:rsidRPr="000F743C" w:rsidSect="000F74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.2pt;height:9.2pt" o:bullet="t">
        <v:imagedata r:id="rId1" o:title="apixbul1"/>
      </v:shape>
    </w:pict>
  </w:numPicBullet>
  <w:numPicBullet w:numPicBulletId="1">
    <w:pict>
      <v:shape id="_x0000_i1183" type="#_x0000_t75" style="width:9.2pt;height:9.2pt" o:bullet="t">
        <v:imagedata r:id="rId2" o:title="apixbul2"/>
      </v:shape>
    </w:pict>
  </w:numPicBullet>
  <w:numPicBullet w:numPicBulletId="2">
    <w:pict>
      <v:shape id="_x0000_i1184" type="#_x0000_t75" style="width:9.2pt;height:9.2pt" o:bullet="t">
        <v:imagedata r:id="rId3" o:title="apixbul3"/>
      </v:shape>
    </w:pict>
  </w:numPicBullet>
  <w:abstractNum w:abstractNumId="0">
    <w:nsid w:val="40E54D29"/>
    <w:multiLevelType w:val="multilevel"/>
    <w:tmpl w:val="B5DADB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9"/>
    <w:rsid w:val="000F743C"/>
    <w:rsid w:val="002A15F4"/>
    <w:rsid w:val="007628C9"/>
    <w:rsid w:val="007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C9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8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C9"/>
    <w:rPr>
      <w:rFonts w:ascii="Tahoma" w:eastAsiaTheme="minorEastAsia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0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C9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8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C9"/>
    <w:rPr>
      <w:rFonts w:ascii="Tahoma" w:eastAsiaTheme="minorEastAsia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0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stroenterologia.ro/Fisiere/Diverse/contact-cabinet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ihiatrie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deo-capsula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troenterologie.ro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3023-AA50-4946-A9EE-A647B5F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/</vt:lpstr>
      <vt:lpstr>    Consultaţii şi servicii de înaltă performanţă:</vt:lpstr>
      <vt:lpstr>    </vt:lpstr>
      <vt:lpstr>    Consultaţii</vt:lpstr>
      <vt:lpstr>    </vt:lpstr>
      <vt:lpstr>    Investigaţii paraclinice</vt:lpstr>
      <vt:lpstr>    </vt:lpstr>
      <vt:lpstr>    Endoscopie digestivă</vt:lpstr>
      <vt:lpstr>    </vt:lpstr>
      <vt:lpstr>    Tratamente endoscopice (nechirurgicale!!!)</vt:lpstr>
      <vt:lpstr>    </vt:lpstr>
      <vt:lpstr>    Tratamente parenterale</vt:lpstr>
      <vt:lpstr>    </vt:lpstr>
      <vt:lpstr>    Alte tipuri de tratament</vt:lpstr>
      <vt:lpstr>    </vt:lpstr>
      <vt:lpstr>    </vt:lpstr>
      <vt:lpstr>    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2012-05-13T14:00:00Z</dcterms:created>
  <dcterms:modified xsi:type="dcterms:W3CDTF">2012-05-13T14:42:00Z</dcterms:modified>
</cp:coreProperties>
</file>