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2E" w:rsidRPr="004D0F2E" w:rsidRDefault="004D0F2E" w:rsidP="004D0F2E">
      <w:pPr>
        <w:spacing w:after="0" w:line="240" w:lineRule="auto"/>
        <w:rPr>
          <w:rFonts w:ascii="Times New Roman" w:eastAsia="Times New Roman" w:hAnsi="Times New Roman" w:cs="Times New Roman"/>
          <w:sz w:val="24"/>
          <w:szCs w:val="24"/>
          <w:lang w:eastAsia="hu-HU"/>
        </w:rPr>
      </w:pPr>
      <w:r w:rsidRPr="004D0F2E">
        <w:rPr>
          <w:rFonts w:ascii="Verdana" w:eastAsia="Times New Roman" w:hAnsi="Verdana" w:cs="Times New Roman"/>
          <w:b/>
          <w:bCs/>
          <w:i/>
          <w:iCs/>
          <w:color w:val="CC0000"/>
          <w:sz w:val="20"/>
          <w:lang w:eastAsia="hu-HU"/>
        </w:rPr>
        <w:t>Olimpiq StemXCell 75% 60/60</w:t>
      </w:r>
      <w:r w:rsidRPr="004D0F2E">
        <w:rPr>
          <w:rFonts w:ascii="Times New Roman" w:eastAsia="Times New Roman" w:hAnsi="Times New Roman" w:cs="Times New Roman"/>
          <w:sz w:val="24"/>
          <w:szCs w:val="24"/>
          <w:lang w:eastAsia="hu-HU"/>
        </w:rPr>
        <w:br/>
      </w:r>
      <w:r w:rsidRPr="004D0F2E">
        <w:rPr>
          <w:rFonts w:ascii="Verdana" w:eastAsia="Times New Roman" w:hAnsi="Verdana" w:cs="Times New Roman"/>
          <w:b/>
          <w:bCs/>
          <w:color w:val="006699"/>
          <w:sz w:val="20"/>
          <w:lang w:eastAsia="hu-HU"/>
        </w:rPr>
        <w:t>StemXCell</w:t>
      </w:r>
    </w:p>
    <w:p w:rsidR="004D0F2E" w:rsidRPr="004D0F2E" w:rsidRDefault="004D0F2E" w:rsidP="004D0F2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951230" cy="1016635"/>
            <wp:effectExtent l="19050" t="0" r="1270" b="0"/>
            <wp:docPr id="1" name="Picture 1" descr="http://www.vitacrystal.ro/pics_cikkszam_uj/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tacrystal.ro/pics_cikkszam_uj/537.jpg"/>
                    <pic:cNvPicPr>
                      <a:picLocks noChangeAspect="1" noChangeArrowheads="1"/>
                    </pic:cNvPicPr>
                  </pic:nvPicPr>
                  <pic:blipFill>
                    <a:blip r:embed="rId4"/>
                    <a:srcRect/>
                    <a:stretch>
                      <a:fillRect/>
                    </a:stretch>
                  </pic:blipFill>
                  <pic:spPr bwMode="auto">
                    <a:xfrm>
                      <a:off x="0" y="0"/>
                      <a:ext cx="951230" cy="1016635"/>
                    </a:xfrm>
                    <a:prstGeom prst="rect">
                      <a:avLst/>
                    </a:prstGeom>
                    <a:noFill/>
                    <a:ln w="9525">
                      <a:noFill/>
                      <a:miter lim="800000"/>
                      <a:headEnd/>
                      <a:tailEnd/>
                    </a:ln>
                  </pic:spPr>
                </pic:pic>
              </a:graphicData>
            </a:graphic>
          </wp:inline>
        </w:drawing>
      </w:r>
    </w:p>
    <w:p w:rsidR="004D0F2E" w:rsidRPr="004D0F2E" w:rsidRDefault="004D0F2E" w:rsidP="004D0F2E">
      <w:pPr>
        <w:spacing w:after="0" w:line="240" w:lineRule="auto"/>
        <w:rPr>
          <w:rFonts w:ascii="Times New Roman" w:eastAsia="Times New Roman" w:hAnsi="Times New Roman" w:cs="Times New Roman"/>
          <w:sz w:val="24"/>
          <w:szCs w:val="24"/>
          <w:lang w:eastAsia="hu-HU"/>
        </w:rPr>
      </w:pPr>
      <w:r w:rsidRPr="004D0F2E">
        <w:rPr>
          <w:rFonts w:ascii="Verdana" w:eastAsia="Times New Roman" w:hAnsi="Verdana" w:cs="Times New Roman"/>
          <w:sz w:val="15"/>
          <w:szCs w:val="15"/>
          <w:lang w:eastAsia="hu-HU"/>
        </w:rPr>
        <w:t>cod:537</w:t>
      </w:r>
    </w:p>
    <w:p w:rsidR="004D0F2E" w:rsidRPr="004D0F2E" w:rsidRDefault="004D0F2E" w:rsidP="004D0F2E">
      <w:pPr>
        <w:spacing w:after="0" w:line="240" w:lineRule="auto"/>
        <w:rPr>
          <w:rFonts w:ascii="Times New Roman" w:eastAsia="Times New Roman" w:hAnsi="Times New Roman" w:cs="Times New Roman"/>
          <w:sz w:val="24"/>
          <w:szCs w:val="24"/>
          <w:lang w:eastAsia="hu-HU"/>
        </w:rPr>
      </w:pPr>
      <w:r w:rsidRPr="004D0F2E">
        <w:rPr>
          <w:rFonts w:ascii="Times New Roman" w:eastAsia="Times New Roman" w:hAnsi="Times New Roman" w:cs="Times New Roman"/>
          <w:sz w:val="24"/>
          <w:szCs w:val="24"/>
          <w:lang w:eastAsia="hu-HU"/>
        </w:rPr>
        <w:pict>
          <v:rect id="_x0000_i1025" style="width:0;height:1.5pt" o:hralign="center" o:hrstd="t" o:hr="t" fillcolor="#a0a0a0" stroked="f"/>
        </w:pict>
      </w:r>
    </w:p>
    <w:p w:rsidR="004D0F2E" w:rsidRPr="004D0F2E" w:rsidRDefault="004D0F2E" w:rsidP="004D0F2E">
      <w:pPr>
        <w:spacing w:after="0" w:line="240" w:lineRule="auto"/>
        <w:rPr>
          <w:rFonts w:ascii="Times New Roman" w:eastAsia="Times New Roman" w:hAnsi="Times New Roman" w:cs="Times New Roman"/>
          <w:sz w:val="24"/>
          <w:szCs w:val="24"/>
          <w:lang w:eastAsia="hu-HU"/>
        </w:rPr>
      </w:pPr>
      <w:r w:rsidRPr="004D0F2E">
        <w:rPr>
          <w:rFonts w:ascii="Verdana" w:eastAsia="Times New Roman" w:hAnsi="Verdana" w:cs="Times New Roman"/>
          <w:color w:val="006699"/>
          <w:sz w:val="20"/>
          <w:szCs w:val="20"/>
          <w:lang w:eastAsia="hu-HU"/>
        </w:rPr>
        <w:t>Cu ajutorul Olimpiq StemXCell veţi putea avea cu 75% mai multe celule stem !</w:t>
      </w:r>
      <w:r w:rsidRPr="004D0F2E">
        <w:rPr>
          <w:rFonts w:ascii="Verdana" w:eastAsia="Times New Roman" w:hAnsi="Verdana" w:cs="Times New Roman"/>
          <w:color w:val="006699"/>
          <w:sz w:val="20"/>
          <w:lang w:eastAsia="hu-HU"/>
        </w:rPr>
        <w:t> </w:t>
      </w:r>
      <w:r w:rsidRPr="004D0F2E">
        <w:rPr>
          <w:rFonts w:ascii="Verdana" w:eastAsia="Times New Roman" w:hAnsi="Verdana" w:cs="Times New Roman"/>
          <w:color w:val="006699"/>
          <w:sz w:val="20"/>
          <w:szCs w:val="20"/>
          <w:lang w:eastAsia="hu-HU"/>
        </w:rPr>
        <w:br/>
        <w:t>Sporirea numărului propriu de celule stem sănătoase şi active este ceai mai bună terapie cu celule stem! Aceste celule sunt cunoscute organismului nostru şi stau la baza procesului de autoregenerare. Pe baza cercetărilor efectuate în anii precedenţi putem declara cu certitudine că celulele stem sunt celulele omnipotente ale organismului nostru. Celulele stem reprezintă obiectul terapiei viitorului. Ştiinţa medicală a intrat într-o nouă eră, cea a valorificării celulelor stem. Unul dintre cele mai importante aspecte ale cercetărilor întreprinse în prezent constă în posibilitatea multiplicării celulelor stem adulte. Determinând organismul să producă o cantitate mai mare de celule stem pe cale naturală ar duce la posibilitatea autocorectării erorilor care apar în cazul bolilor, accidentelor, respectiv sunt responsabile de procesul de îmbătrânire. Cu cât numărul de celule stem prezente în fluxul sanguin este mai mare, cu atât starea de sănătate este mai bună. Celulele stem de la nivelul măduvei osoase reprezintă sistemul natural de „autoreînnoire” a organismului.</w:t>
      </w:r>
      <w:r w:rsidRPr="004D0F2E">
        <w:rPr>
          <w:rFonts w:ascii="Verdana" w:eastAsia="Times New Roman" w:hAnsi="Verdana" w:cs="Times New Roman"/>
          <w:color w:val="006699"/>
          <w:sz w:val="20"/>
          <w:lang w:eastAsia="hu-HU"/>
        </w:rPr>
        <w:t> </w:t>
      </w:r>
      <w:r w:rsidRPr="004D0F2E">
        <w:rPr>
          <w:rFonts w:ascii="Verdana" w:eastAsia="Times New Roman" w:hAnsi="Verdana" w:cs="Times New Roman"/>
          <w:color w:val="006699"/>
          <w:sz w:val="20"/>
          <w:szCs w:val="20"/>
          <w:lang w:eastAsia="hu-HU"/>
        </w:rPr>
        <w:br/>
        <w:t>Nivelul celulelor stem este cel mai bun indicator al stării de sănătate, mai fidel decât nivelul colesterolului, tensiunii arteriale, glicemiei, etc. Acurateţea acestuia depăşeşte cea a oricărui parametru cunoscut sub denumirea de risc cardio-vascular, fiind aplicabil tuturor componentelor organismului nostru. Un volum de 5 l sânge conţine un număr între 5 şi 25 milioane de celule stem. O dată cu înaintarea în vârstă, însă numărul celulelor stem nou-sintetizate înregistrează o scădere semnificativă.</w:t>
      </w:r>
      <w:r w:rsidRPr="004D0F2E">
        <w:rPr>
          <w:rFonts w:ascii="Verdana" w:eastAsia="Times New Roman" w:hAnsi="Verdana" w:cs="Times New Roman"/>
          <w:color w:val="006699"/>
          <w:sz w:val="20"/>
          <w:lang w:eastAsia="hu-HU"/>
        </w:rPr>
        <w:t> </w:t>
      </w:r>
      <w:r w:rsidRPr="004D0F2E">
        <w:rPr>
          <w:rFonts w:ascii="Verdana" w:eastAsia="Times New Roman" w:hAnsi="Verdana" w:cs="Times New Roman"/>
          <w:color w:val="006699"/>
          <w:sz w:val="20"/>
          <w:szCs w:val="20"/>
          <w:lang w:eastAsia="hu-HU"/>
        </w:rPr>
        <w:br/>
        <w:t>În decursul unei singure ore putem avea cu peste 75% mai multe celule stem!</w:t>
      </w:r>
      <w:r w:rsidRPr="004D0F2E">
        <w:rPr>
          <w:rFonts w:ascii="Verdana" w:eastAsia="Times New Roman" w:hAnsi="Verdana" w:cs="Times New Roman"/>
          <w:color w:val="006699"/>
          <w:sz w:val="20"/>
          <w:lang w:eastAsia="hu-HU"/>
        </w:rPr>
        <w:t> </w:t>
      </w:r>
      <w:r w:rsidRPr="004D0F2E">
        <w:rPr>
          <w:rFonts w:ascii="Verdana" w:eastAsia="Times New Roman" w:hAnsi="Verdana" w:cs="Times New Roman"/>
          <w:color w:val="006699"/>
          <w:sz w:val="20"/>
          <w:szCs w:val="20"/>
          <w:lang w:eastAsia="hu-HU"/>
        </w:rPr>
        <w:br/>
        <w:t>Un nou concept: hrănirea celulelor stem, protecţia celulelor stem. Olimpiq StemXCell este primul şi unicul produs cu efect de multiplicare a celulelor stem adulte, cu proprietăţi remarcabile. Hrănirea celulelor stem atrage după sine o producţie crescută de celule stem adulte la nivel medular, contribuind astfel la controlul procesului de îmbătrânire. Facilitează migrarea celulelor stem la nivelul fluxului sanguin şi procesul de identificare a ţintelor acestora. Înlesneşte înglobarea celulelor stem în ţesuturi, multiplicarea acestora la nivelul ţesuturilor ţintă şi transformarea lor în celule specifice respectivului ţesut. Principiile active ale produsului Olimpiq StemXCell au fost atent selecţionate dintr-un număr de peste 100 de substanţe testate şi adunate din diferite locaţii de pe glob. Putem deosebi două categorii de celule stem: embrionare şi adulte. Cele două tipuri de celule stem prezintă proprietăţi asemănătoare, diferenţa constând în dificultatea izolării celulelor stem adulte de la nivel medular.</w:t>
      </w:r>
      <w:r w:rsidRPr="004D0F2E">
        <w:rPr>
          <w:rFonts w:ascii="Verdana" w:eastAsia="Times New Roman" w:hAnsi="Verdana" w:cs="Times New Roman"/>
          <w:color w:val="006699"/>
          <w:sz w:val="20"/>
          <w:lang w:eastAsia="hu-HU"/>
        </w:rPr>
        <w:t> </w:t>
      </w:r>
      <w:r w:rsidRPr="004D0F2E">
        <w:rPr>
          <w:rFonts w:ascii="Verdana" w:eastAsia="Times New Roman" w:hAnsi="Verdana" w:cs="Times New Roman"/>
          <w:color w:val="006699"/>
          <w:sz w:val="20"/>
          <w:szCs w:val="20"/>
          <w:lang w:eastAsia="hu-HU"/>
        </w:rPr>
        <w:br/>
        <w:t>Organismul adult conţine celule stem la nivelul a numeroase ţesuturi diferite. Celulele stem tisulare se pot afla în stare latentă sau activă, caracterizată prin numeroase diviziuni succesive. Dacă aceste celule sunt izolate apoi plasate într-un mediu tisular diferit, sunt capabile de a se diferenţia în celule adulte, specifice ţesutului respectiv. Cea mai mare proporţie se astfel de celule se găseşte la nivelul măduvei osoase.</w:t>
      </w:r>
      <w:r w:rsidRPr="004D0F2E">
        <w:rPr>
          <w:rFonts w:ascii="Verdana" w:eastAsia="Times New Roman" w:hAnsi="Verdana" w:cs="Times New Roman"/>
          <w:color w:val="006699"/>
          <w:sz w:val="20"/>
          <w:lang w:eastAsia="hu-HU"/>
        </w:rPr>
        <w:t> </w:t>
      </w:r>
      <w:r w:rsidRPr="004D0F2E">
        <w:rPr>
          <w:rFonts w:ascii="Verdana" w:eastAsia="Times New Roman" w:hAnsi="Verdana" w:cs="Times New Roman"/>
          <w:color w:val="006699"/>
          <w:sz w:val="20"/>
          <w:szCs w:val="20"/>
          <w:lang w:eastAsia="hu-HU"/>
        </w:rPr>
        <w:br/>
        <w:t xml:space="preserve">În situaţia în care un anume organ nu funcţionează corespunzător, sau a suferit anumite leziuni şi prin urmare are nevoie de un surplus de celule, acesta va transmite un semnal care va fi recepţionat la nivelul măduvei osoase, determinând eliberarea unui flux de celule stem şi direcţionarea lor către organul ţintă. Celulele stem, părăsind măduva osoasă, ajung în fluxul sanguin, apoi cu ajutorul unui mesager specific sunt transportate la nivelul organului afectat. Ajunse la nivelul organului ţintă, celulele stem – datorită capacităţii lor de multiplicare – se autoreproduc în timp ce se implantează la nivelul ţesutului respectiv şi devin celule specifice acestuia. Datorită acestui proces, organul afectat va fi reînnoit, recăpătându-şi starea de sănătate şi păstrându-şi în acelaşi timp </w:t>
      </w:r>
      <w:r w:rsidRPr="004D0F2E">
        <w:rPr>
          <w:rFonts w:ascii="Verdana" w:eastAsia="Times New Roman" w:hAnsi="Verdana" w:cs="Times New Roman"/>
          <w:color w:val="006699"/>
          <w:sz w:val="20"/>
          <w:szCs w:val="20"/>
          <w:lang w:eastAsia="hu-HU"/>
        </w:rPr>
        <w:lastRenderedPageBreak/>
        <w:t>funcţiile specifice.</w:t>
      </w:r>
      <w:r w:rsidRPr="004D0F2E">
        <w:rPr>
          <w:rFonts w:ascii="Verdana" w:eastAsia="Times New Roman" w:hAnsi="Verdana" w:cs="Times New Roman"/>
          <w:color w:val="006699"/>
          <w:sz w:val="20"/>
          <w:szCs w:val="20"/>
          <w:lang w:eastAsia="hu-HU"/>
        </w:rPr>
        <w:br/>
        <w:t>Compoziţia StemX: Alga AFA, germeni din sămânţă de cânepă, fucoidan, ganoderma lucidum, seminţe de cânepă, clorofilă, matase de porumb, lycium barbarum, Black cohosh (Cimicifuda racemosa). Compoziţia SL XCell: seminţe de: struguri-roşii, sorg, mur, coacăze negru, cireşe-negre, soc, prune, mere, urzică-vie, coada calului, flori de soc, frunză de mesteacăn.</w:t>
      </w:r>
      <w:r w:rsidRPr="004D0F2E">
        <w:rPr>
          <w:rFonts w:ascii="Verdana" w:eastAsia="Times New Roman" w:hAnsi="Verdana" w:cs="Times New Roman"/>
          <w:color w:val="006699"/>
          <w:sz w:val="20"/>
          <w:szCs w:val="20"/>
          <w:lang w:eastAsia="hu-HU"/>
        </w:rPr>
        <w:br/>
        <w:t>Mod de administrare:</w:t>
      </w:r>
      <w:r w:rsidRPr="004D0F2E">
        <w:rPr>
          <w:rFonts w:ascii="Verdana" w:eastAsia="Times New Roman" w:hAnsi="Verdana" w:cs="Times New Roman"/>
          <w:color w:val="006699"/>
          <w:sz w:val="20"/>
          <w:lang w:eastAsia="hu-HU"/>
        </w:rPr>
        <w:t> </w:t>
      </w:r>
      <w:r w:rsidRPr="004D0F2E">
        <w:rPr>
          <w:rFonts w:ascii="Verdana" w:eastAsia="Times New Roman" w:hAnsi="Verdana" w:cs="Times New Roman"/>
          <w:color w:val="006699"/>
          <w:sz w:val="20"/>
          <w:szCs w:val="20"/>
          <w:lang w:eastAsia="hu-HU"/>
        </w:rPr>
        <w:br/>
        <w:t>Câte 1 capsulă din fiecare produs la 1-2 zile, iar la nevoie şi la recomandarea specialistului, câte 2 capsule pe zi. Compozitia XCell se administrează cu 30-60 de minute înainte de StemX.</w:t>
      </w:r>
    </w:p>
    <w:p w:rsidR="00DB71CC" w:rsidRDefault="00DB71CC"/>
    <w:sectPr w:rsidR="00DB71CC" w:rsidSect="00DB71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D0F2E"/>
    <w:rsid w:val="004D0F2E"/>
    <w:rsid w:val="00DB71C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0F2E"/>
    <w:rPr>
      <w:b/>
      <w:bCs/>
    </w:rPr>
  </w:style>
  <w:style w:type="character" w:styleId="Emphasis">
    <w:name w:val="Emphasis"/>
    <w:basedOn w:val="DefaultParagraphFont"/>
    <w:uiPriority w:val="20"/>
    <w:qFormat/>
    <w:rsid w:val="004D0F2E"/>
    <w:rPr>
      <w:i/>
      <w:iCs/>
    </w:rPr>
  </w:style>
  <w:style w:type="character" w:customStyle="1" w:styleId="apple-converted-space">
    <w:name w:val="apple-converted-space"/>
    <w:basedOn w:val="DefaultParagraphFont"/>
    <w:rsid w:val="004D0F2E"/>
  </w:style>
  <w:style w:type="paragraph" w:styleId="BalloonText">
    <w:name w:val="Balloon Text"/>
    <w:basedOn w:val="Normal"/>
    <w:link w:val="BalloonTextChar"/>
    <w:uiPriority w:val="99"/>
    <w:semiHidden/>
    <w:unhideWhenUsed/>
    <w:rsid w:val="004D0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573873">
      <w:bodyDiv w:val="1"/>
      <w:marLeft w:val="0"/>
      <w:marRight w:val="0"/>
      <w:marTop w:val="0"/>
      <w:marBottom w:val="0"/>
      <w:divBdr>
        <w:top w:val="none" w:sz="0" w:space="0" w:color="auto"/>
        <w:left w:val="none" w:sz="0" w:space="0" w:color="auto"/>
        <w:bottom w:val="none" w:sz="0" w:space="0" w:color="auto"/>
        <w:right w:val="none" w:sz="0" w:space="0" w:color="auto"/>
      </w:divBdr>
      <w:divsChild>
        <w:div w:id="13449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4044</Characters>
  <Application>Microsoft Office Word</Application>
  <DocSecurity>0</DocSecurity>
  <Lines>33</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Zoli Dóra</dc:creator>
  <cp:lastModifiedBy>Zoli Dóra</cp:lastModifiedBy>
  <cp:revision>1</cp:revision>
  <dcterms:created xsi:type="dcterms:W3CDTF">2012-01-20T14:31:00Z</dcterms:created>
  <dcterms:modified xsi:type="dcterms:W3CDTF">2012-01-20T14:33:00Z</dcterms:modified>
</cp:coreProperties>
</file>